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rFonts w:ascii="Courier New" w:cs="Courier New" w:eastAsia="Courier New" w:hAnsi="Courier New"/>
          <w:b/>
          <w:bCs/>
          <w:color w:val="C0612E"/>
          <w:spacing w:val="60"/>
          <w:sz w:val="24"/>
          <w:szCs w:val="24"/>
        </w:rPr>
        <w:t xml:space="preserve">PLAN RESTAURACIÓN MÉXICO</w:t>
      </w:r>
    </w:p>
    <w:p>
      <w:pPr>
        <w:spacing w:before="200"/>
        <w:jc w:val="center"/>
      </w:pPr>
      <w:r>
        <w:rPr>
          <w:rFonts w:ascii="Georgia" w:cs="Georgia" w:eastAsia="Georgia" w:hAnsi="Georgia"/>
          <w:color w:val="1A1A1A"/>
          <w:sz w:val="72"/>
          <w:szCs w:val="72"/>
        </w:rPr>
        <w:t xml:space="preserve">La Constitución de 1917</w:t>
      </w:r>
    </w:p>
    <w:p>
      <w:pPr>
        <w:jc w:val="center"/>
      </w:pPr>
      <w:r>
        <w:rPr>
          <w:rFonts w:ascii="Georgia" w:cs="Georgia" w:eastAsia="Georgia" w:hAnsi="Georgia"/>
          <w:i/>
          <w:iCs/>
          <w:color w:val="C0612E"/>
          <w:sz w:val="72"/>
          <w:szCs w:val="72"/>
        </w:rPr>
        <w:t xml:space="preserve">ya tiene el remedio.</w:t>
      </w:r>
    </w:p>
    <w:p>
      <w:pPr>
        <w:spacing w:before="720"/>
        <w:jc w:val="center"/>
      </w:pPr>
      <w:r>
        <w:rPr>
          <w:rFonts w:ascii="Calibri" w:cs="Calibri" w:eastAsia="Calibri" w:hAnsi="Calibri"/>
          <w:color w:val="1A1A1A"/>
          <w:sz w:val="24"/>
          <w:szCs w:val="24"/>
        </w:rPr>
        <w:t xml:space="preserve">Una pregunta. Tres millones de firmas.</w:t>
      </w:r>
    </w:p>
    <w:p>
      <w:pPr>
        <w:jc w:val="center"/>
      </w:pPr>
      <w:r>
        <w:rPr>
          <w:rFonts w:ascii="Calibri" w:cs="Calibri" w:eastAsia="Calibri" w:hAnsi="Calibri"/>
          <w:color w:val="1A1A1A"/>
          <w:sz w:val="24"/>
          <w:szCs w:val="24"/>
        </w:rPr>
        <w:t xml:space="preserve">El umbral constitucional del Art. 35 IX.</w:t>
      </w:r>
    </w:p>
    <w:p>
      <w:pPr>
        <w:spacing w:before="2000"/>
        <w:jc w:val="center"/>
      </w:pPr>
      <w:r>
        <w:rPr>
          <w:rFonts w:ascii="Courier New" w:cs="Courier New" w:eastAsia="Courier New" w:hAnsi="Courier New"/>
          <w:color w:val="6B6660"/>
          <w:spacing w:val="30"/>
          <w:sz w:val="18"/>
          <w:szCs w:val="18"/>
        </w:rPr>
        <w:t xml:space="preserve">Documento ciudadano · Mayo 2026</w:t>
      </w:r>
    </w:p>
    <w:p>
      <w:pPr>
        <w:jc w:val="center"/>
      </w:pPr>
      <w:r>
        <w:rPr>
          <w:rFonts w:ascii="Courier New" w:cs="Courier New" w:eastAsia="Courier New" w:hAnsi="Courier New"/>
          <w:color w:val="C0612E"/>
          <w:spacing w:val="30"/>
          <w:sz w:val="18"/>
          <w:szCs w:val="18"/>
        </w:rPr>
        <w:t xml:space="preserve">mexico2030.com/restauracion</w:t>
      </w:r>
    </w:p>
    <w:p>
      <w:r>
        <w:br w:type="page"/>
      </w:r>
    </w:p>
    <w:p>
      <w:pPr>
        <w:pStyle w:val="Heading1"/>
        <w:spacing w:after="200" w:before="360"/>
      </w:pPr>
      <w:r>
        <w:rPr>
          <w:rFonts w:ascii="Georgia" w:cs="Georgia" w:eastAsia="Georgia" w:hAnsi="Georgia"/>
          <w:b/>
          <w:bCs/>
          <w:color w:val="1A1A1A"/>
          <w:sz w:val="40"/>
          <w:szCs w:val="40"/>
        </w:rPr>
        <w:t xml:space="preserve">Contenido</w:t>
      </w:r>
    </w:p>
    <w:p>
      <w:pPr>
        <w:spacing w:after="100"/>
      </w:pPr>
      <w:r>
        <w:rPr>
          <w:rFonts w:ascii="Calibri" w:cs="Calibri" w:eastAsia="Calibri" w:hAnsi="Calibri"/>
          <w:sz w:val="22"/>
          <w:szCs w:val="22"/>
        </w:rPr>
        <w:t xml:space="preserve">I.   Tesis · Inviolabilidad de la Constitución (Art. 136)</w:t>
      </w:r>
    </w:p>
    <w:p>
      <w:pPr>
        <w:spacing w:after="100"/>
      </w:pPr>
      <w:r>
        <w:rPr>
          <w:rFonts w:ascii="Calibri" w:cs="Calibri" w:eastAsia="Calibri" w:hAnsi="Calibri"/>
          <w:sz w:val="22"/>
          <w:szCs w:val="22"/>
        </w:rPr>
        <w:t xml:space="preserve">II.  Diagnóstico · Trastorno público documentado</w:t>
      </w:r>
    </w:p>
    <w:p>
      <w:pPr>
        <w:spacing w:after="100"/>
      </w:pPr>
      <w:r>
        <w:rPr>
          <w:rFonts w:ascii="Calibri" w:cs="Calibri" w:eastAsia="Calibri" w:hAnsi="Calibri"/>
          <w:sz w:val="22"/>
          <w:szCs w:val="22"/>
        </w:rPr>
        <w:t xml:space="preserve">III. Marco constitucional · Soberanía popular y revocación</w:t>
      </w:r>
    </w:p>
    <w:p>
      <w:pPr>
        <w:spacing w:after="100"/>
      </w:pPr>
      <w:r>
        <w:rPr>
          <w:rFonts w:ascii="Calibri" w:cs="Calibri" w:eastAsia="Calibri" w:hAnsi="Calibri"/>
          <w:sz w:val="22"/>
          <w:szCs w:val="22"/>
        </w:rPr>
        <w:t xml:space="preserve">IV.  Cita textual del Artículo 136 Constitucional</w:t>
      </w:r>
    </w:p>
    <w:p>
      <w:pPr>
        <w:spacing w:after="100"/>
      </w:pPr>
      <w:r>
        <w:rPr>
          <w:rFonts w:ascii="Calibri" w:cs="Calibri" w:eastAsia="Calibri" w:hAnsi="Calibri"/>
          <w:sz w:val="22"/>
          <w:szCs w:val="22"/>
        </w:rPr>
        <w:t xml:space="preserve">V.   Estrategia · Modelo híbrido</w:t>
      </w:r>
    </w:p>
    <w:p>
      <w:pPr>
        <w:spacing w:after="100"/>
      </w:pPr>
      <w:r>
        <w:rPr>
          <w:rFonts w:ascii="Calibri" w:cs="Calibri" w:eastAsia="Calibri" w:hAnsi="Calibri"/>
          <w:sz w:val="22"/>
          <w:szCs w:val="22"/>
        </w:rPr>
        <w:t xml:space="preserve">VI.  Tribunal Especial · Juzgamiento del régimen golpista</w:t>
      </w:r>
    </w:p>
    <w:p>
      <w:pPr>
        <w:spacing w:after="100"/>
      </w:pPr>
      <w:r>
        <w:rPr>
          <w:rFonts w:ascii="Calibri" w:cs="Calibri" w:eastAsia="Calibri" w:hAnsi="Calibri"/>
          <w:sz w:val="22"/>
          <w:szCs w:val="22"/>
        </w:rPr>
        <w:t xml:space="preserve">VII. Reforma constitucional propuesta · Art. 73, 94 y 111 Bis</w:t>
      </w:r>
    </w:p>
    <w:p>
      <w:pPr>
        <w:spacing w:after="100"/>
      </w:pPr>
      <w:r>
        <w:rPr>
          <w:rFonts w:ascii="Calibri" w:cs="Calibri" w:eastAsia="Calibri" w:hAnsi="Calibri"/>
          <w:sz w:val="22"/>
          <w:szCs w:val="22"/>
        </w:rPr>
        <w:t xml:space="preserve">VIII.Mecanismo ciudadano · Órgano mixto Poder Judicial</w:t>
      </w:r>
    </w:p>
    <w:p>
      <w:pPr>
        <w:spacing w:after="100"/>
      </w:pPr>
      <w:r>
        <w:rPr>
          <w:rFonts w:ascii="Calibri" w:cs="Calibri" w:eastAsia="Calibri" w:hAnsi="Calibri"/>
          <w:sz w:val="22"/>
          <w:szCs w:val="22"/>
        </w:rPr>
        <w:t xml:space="preserve">IX.  Cómo participar · Voto y firma</w:t>
      </w:r>
    </w:p>
    <w:p>
      <w:pPr>
        <w:spacing w:after="100"/>
      </w:pPr>
      <w:r>
        <w:rPr>
          <w:rFonts w:ascii="Calibri" w:cs="Calibri" w:eastAsia="Calibri" w:hAnsi="Calibri"/>
          <w:sz w:val="22"/>
          <w:szCs w:val="22"/>
        </w:rPr>
        <w:t xml:space="preserve">X.   Anexos · Aviso de privacidad y datos INE</w:t>
      </w:r>
    </w:p>
    <w:p>
      <w:r>
        <w:br w:type="page"/>
      </w:r>
    </w:p>
    <w:p>
      <w:pPr>
        <w:spacing w:after="80" w:before="360"/>
      </w:pPr>
      <w:r>
        <w:rPr>
          <w:rFonts w:ascii="Courier New" w:cs="Courier New" w:eastAsia="Courier New" w:hAnsi="Courier New"/>
          <w:b/>
          <w:bCs/>
          <w:color w:val="C0612E"/>
          <w:spacing w:val="30"/>
          <w:sz w:val="16"/>
          <w:szCs w:val="16"/>
        </w:rPr>
        <w:t xml:space="preserve">CAPÍTULO I</w:t>
      </w:r>
    </w:p>
    <w:p>
      <w:pPr>
        <w:pStyle w:val="Heading1"/>
        <w:spacing w:after="200" w:before="360"/>
      </w:pPr>
      <w:r>
        <w:rPr>
          <w:rFonts w:ascii="Georgia" w:cs="Georgia" w:eastAsia="Georgia" w:hAnsi="Georgia"/>
          <w:b/>
          <w:bCs/>
          <w:color w:val="1A1A1A"/>
          <w:sz w:val="40"/>
          <w:szCs w:val="40"/>
        </w:rPr>
        <w:t xml:space="preserve">Inviolabilidad de la Constitución</w:t>
      </w:r>
    </w:p>
    <w:p>
      <w:pPr>
        <w:pStyle w:val="Heading3"/>
        <w:spacing w:after="100" w:before="200"/>
      </w:pPr>
      <w:r>
        <w:rPr>
          <w:rFonts w:ascii="Calibri" w:cs="Calibri" w:eastAsia="Calibri" w:hAnsi="Calibri"/>
          <w:b/>
          <w:bCs/>
          <w:color w:val="C0612E"/>
          <w:sz w:val="24"/>
          <w:szCs w:val="24"/>
        </w:rPr>
        <w:t xml:space="preserve">Artículo 136 Constitucional</w:t>
      </w:r>
    </w:p>
    <w:p>
      <w:pPr>
        <w:spacing w:after="140" w:line="320"/>
        <w:jc w:val="both"/>
      </w:pPr>
      <w:r>
        <w:rPr>
          <w:rFonts w:ascii="Calibri" w:cs="Calibri" w:eastAsia="Calibri" w:hAnsi="Calibri"/>
          <w:sz w:val="22"/>
          <w:szCs w:val="22"/>
        </w:rPr>
        <w:t xml:space="preserve">Las elecciones de 2024 fueron decididamente influenciadas por grupos del crimen organizado, hoy considerados Organizaciones Terroristas Extranjeras (FTOs) por Estados Unidos. La intervención criminal en el voto se documentó mediante manejo territorial, violencia, amenazas, extorsión y cooptación electoral en regiones extensas del país.</w:t>
      </w:r>
    </w:p>
    <w:p>
      <w:pPr>
        <w:spacing w:after="140" w:line="320"/>
        <w:jc w:val="both"/>
      </w:pPr>
      <w:r>
        <w:rPr>
          <w:rFonts w:ascii="Calibri" w:cs="Calibri" w:eastAsia="Calibri" w:hAnsi="Calibri"/>
          <w:sz w:val="22"/>
          <w:szCs w:val="22"/>
        </w:rPr>
        <w:t xml:space="preserve">De esa elección viciada resultaron la Presidencia, el Congreso de la Unión y los congresos estatales con capacidad de modificar la Carta Magna. Entre las reformas implementadas figura la Reforma Judicial, en clara contradicción con los principios constitucionales originales y con la intención manifiesta de servir a los intereses de las FTOs.</w:t>
      </w:r>
    </w:p>
    <w:p>
      <w:pPr>
        <w:spacing w:after="140" w:line="320"/>
        <w:jc w:val="both"/>
      </w:pPr>
      <w:r>
        <w:rPr>
          <w:rFonts w:ascii="Calibri" w:cs="Calibri" w:eastAsia="Calibri" w:hAnsi="Calibri"/>
          <w:sz w:val="22"/>
          <w:szCs w:val="22"/>
        </w:rPr>
        <w:t xml:space="preserve">Esta tesis postula que México se encuentra ante un Golpe de Estado gestado por el crimen organizado. Atendiendo a lo previsto en el Artículo 136 de la Constitución Política de los Estados Unidos Mexicanos, toda vez que el régimen golpista implementa normativa, políticas públicas y agenda totalmente contraria a la Constitución original, debe estimarse que tanto las autoridades electas en 2024 como las leyes y reformas emanadas de ellas son espurias. El propio texto constitucional ordena el retorno al orden constitucional previo.</w:t>
      </w:r>
    </w:p>
    <w:p>
      <w:pPr>
        <w:spacing w:after="140" w:line="320"/>
        <w:jc w:val="both"/>
      </w:pPr>
      <w:r>
        <w:rPr>
          <w:rFonts w:ascii="Calibri" w:cs="Calibri" w:eastAsia="Calibri" w:hAnsi="Calibri"/>
          <w:sz w:val="22"/>
          <w:szCs w:val="22"/>
        </w:rPr>
        <w:t xml:space="preserve">Una vez logrado este retorno, debe establecerse un Tribunal Especial para juzgar a quienes hayan cooperado con el régimen golpista y sancionarlos en consecuencia. Las sanciones contempladas incluyen penas carcelarias, incautación de activos y restricción permanente del acceso al servicio público y a cargos de elección popular, por haber trastornado el orden constitucional, con fundamento en el artículo citado.</w:t>
      </w:r>
    </w:p>
    <w:p>
      <w:r>
        <w:br w:type="page"/>
      </w:r>
    </w:p>
    <w:p>
      <w:pPr>
        <w:spacing w:after="80" w:before="360"/>
      </w:pPr>
      <w:r>
        <w:rPr>
          <w:rFonts w:ascii="Courier New" w:cs="Courier New" w:eastAsia="Courier New" w:hAnsi="Courier New"/>
          <w:b/>
          <w:bCs/>
          <w:color w:val="C0612E"/>
          <w:spacing w:val="30"/>
          <w:sz w:val="16"/>
          <w:szCs w:val="16"/>
        </w:rPr>
        <w:t xml:space="preserve">CAPÍTULO II</w:t>
      </w:r>
    </w:p>
    <w:p>
      <w:pPr>
        <w:pStyle w:val="Heading1"/>
        <w:spacing w:after="200" w:before="360"/>
      </w:pPr>
      <w:r>
        <w:rPr>
          <w:rFonts w:ascii="Georgia" w:cs="Georgia" w:eastAsia="Georgia" w:hAnsi="Georgia"/>
          <w:b/>
          <w:bCs/>
          <w:color w:val="1A1A1A"/>
          <w:sz w:val="40"/>
          <w:szCs w:val="40"/>
        </w:rPr>
        <w:t xml:space="preserve">Trastorno público documentado</w:t>
      </w:r>
    </w:p>
    <w:p>
      <w:pPr>
        <w:spacing w:after="140" w:line="320"/>
        <w:jc w:val="both"/>
      </w:pPr>
      <w:r>
        <w:rPr>
          <w:rFonts w:ascii="Calibri" w:cs="Calibri" w:eastAsia="Calibri" w:hAnsi="Calibri"/>
          <w:sz w:val="22"/>
          <w:szCs w:val="22"/>
        </w:rPr>
        <w:t xml:space="preserve">El proceso electoral de 2024 no fue una elección ordinaria. Fue una operación en la que el crimen organizado, designado oficialmente por Estados Unidos como organización terrorista internacional, intervino de manera sistemática para definir el resultado en favor de candidaturas comprometidas con sus intereses.</w:t>
      </w:r>
    </w:p>
    <w:p>
      <w:pPr>
        <w:pStyle w:val="Heading3"/>
        <w:spacing w:after="100" w:before="200"/>
      </w:pPr>
      <w:r>
        <w:rPr>
          <w:rFonts w:ascii="Calibri" w:cs="Calibri" w:eastAsia="Calibri" w:hAnsi="Calibri"/>
          <w:b/>
          <w:bCs/>
          <w:color w:val="C0612E"/>
          <w:sz w:val="24"/>
          <w:szCs w:val="24"/>
        </w:rPr>
        <w:t xml:space="preserve">Evidencia documentada</w:t>
      </w:r>
    </w:p>
    <w:p>
      <w:pPr>
        <w:pStyle w:val="ListParagraph"/>
        <w:numPr>
          <w:ilvl w:val="0"/>
          <w:numId w:val="2"/>
        </w:numPr>
        <w:spacing w:after="100" w:line="280"/>
      </w:pPr>
      <w:r>
        <w:rPr>
          <w:rFonts w:ascii="Calibri" w:cs="Calibri" w:eastAsia="Calibri" w:hAnsi="Calibri"/>
          <w:color w:val="1A1A1A"/>
          <w:sz w:val="22"/>
          <w:szCs w:val="22"/>
        </w:rPr>
        <w:t xml:space="preserve">Financiamiento ilícito de campañas y operadores políticos.</w:t>
      </w:r>
    </w:p>
    <w:p>
      <w:pPr>
        <w:pStyle w:val="ListParagraph"/>
        <w:numPr>
          <w:ilvl w:val="0"/>
          <w:numId w:val="2"/>
        </w:numPr>
        <w:spacing w:after="100" w:line="280"/>
      </w:pPr>
      <w:r>
        <w:rPr>
          <w:rFonts w:ascii="Calibri" w:cs="Calibri" w:eastAsia="Calibri" w:hAnsi="Calibri"/>
          <w:color w:val="1A1A1A"/>
          <w:sz w:val="22"/>
          <w:szCs w:val="22"/>
        </w:rPr>
        <w:t xml:space="preserve">Cooptación de candidaturas locales mediante amenaza, soborno y violencia selectiva.</w:t>
      </w:r>
    </w:p>
    <w:p>
      <w:pPr>
        <w:pStyle w:val="ListParagraph"/>
        <w:numPr>
          <w:ilvl w:val="0"/>
          <w:numId w:val="2"/>
        </w:numPr>
        <w:spacing w:after="100" w:line="280"/>
      </w:pPr>
      <w:r>
        <w:rPr>
          <w:rFonts w:ascii="Calibri" w:cs="Calibri" w:eastAsia="Calibri" w:hAnsi="Calibri"/>
          <w:color w:val="1A1A1A"/>
          <w:sz w:val="22"/>
          <w:szCs w:val="22"/>
        </w:rPr>
        <w:t xml:space="preserve">Manejo territorial del voto en regiones bajo control criminal.</w:t>
      </w:r>
    </w:p>
    <w:p>
      <w:pPr>
        <w:pStyle w:val="ListParagraph"/>
        <w:numPr>
          <w:ilvl w:val="0"/>
          <w:numId w:val="2"/>
        </w:numPr>
        <w:spacing w:after="100" w:line="280"/>
      </w:pPr>
      <w:r>
        <w:rPr>
          <w:rFonts w:ascii="Calibri" w:cs="Calibri" w:eastAsia="Calibri" w:hAnsi="Calibri"/>
          <w:color w:val="1A1A1A"/>
          <w:sz w:val="22"/>
          <w:szCs w:val="22"/>
        </w:rPr>
        <w:t xml:space="preserve">Captura institucional progresiva de fiscalías, seguridad pública y poder judicial estatal.</w:t>
      </w:r>
    </w:p>
    <w:p>
      <w:pPr>
        <w:pStyle w:val="ListParagraph"/>
        <w:numPr>
          <w:ilvl w:val="0"/>
          <w:numId w:val="2"/>
        </w:numPr>
        <w:spacing w:after="100" w:line="280"/>
      </w:pPr>
      <w:r>
        <w:rPr>
          <w:rFonts w:ascii="Calibri" w:cs="Calibri" w:eastAsia="Calibri" w:hAnsi="Calibri"/>
          <w:color w:val="1A1A1A"/>
          <w:sz w:val="22"/>
          <w:szCs w:val="22"/>
        </w:rPr>
        <w:t xml:space="preserve">Designaciones a cargos federales de personas con vínculos documentados con FTOs.</w:t>
      </w:r>
    </w:p>
    <w:p>
      <w:pPr>
        <w:pStyle w:val="Heading3"/>
        <w:spacing w:after="100" w:before="200"/>
      </w:pPr>
      <w:r>
        <w:rPr>
          <w:rFonts w:ascii="Calibri" w:cs="Calibri" w:eastAsia="Calibri" w:hAnsi="Calibri"/>
          <w:b/>
          <w:bCs/>
          <w:color w:val="C0612E"/>
          <w:sz w:val="24"/>
          <w:szCs w:val="24"/>
        </w:rPr>
        <w:t xml:space="preserve">Consecuencia jurídica</w:t>
      </w:r>
    </w:p>
    <w:p>
      <w:pPr>
        <w:spacing w:after="140" w:line="320"/>
        <w:jc w:val="both"/>
      </w:pPr>
      <w:r>
        <w:rPr>
          <w:rFonts w:ascii="Calibri" w:cs="Calibri" w:eastAsia="Calibri" w:hAnsi="Calibri"/>
          <w:sz w:val="22"/>
          <w:szCs w:val="22"/>
        </w:rPr>
        <w:t xml:space="preserve">La elección quedó viciada en origen. Una elección viciada en origen no produce autoridades legítimas. Las autoridades emanadas de esa elección, en tanto continúan implementando agenda contraria al orden constitucional original, son autoridades de un gobierno espurio en los términos del Artículo 136.</w:t>
      </w:r>
    </w:p>
    <w:p>
      <w:r>
        <w:br w:type="page"/>
      </w:r>
    </w:p>
    <w:p>
      <w:pPr>
        <w:spacing w:after="80" w:before="360"/>
      </w:pPr>
      <w:r>
        <w:rPr>
          <w:rFonts w:ascii="Courier New" w:cs="Courier New" w:eastAsia="Courier New" w:hAnsi="Courier New"/>
          <w:b/>
          <w:bCs/>
          <w:color w:val="C0612E"/>
          <w:spacing w:val="30"/>
          <w:sz w:val="16"/>
          <w:szCs w:val="16"/>
        </w:rPr>
        <w:t xml:space="preserve">CAPÍTULO III</w:t>
      </w:r>
    </w:p>
    <w:p>
      <w:pPr>
        <w:pStyle w:val="Heading1"/>
        <w:spacing w:after="200" w:before="360"/>
      </w:pPr>
      <w:r>
        <w:rPr>
          <w:rFonts w:ascii="Georgia" w:cs="Georgia" w:eastAsia="Georgia" w:hAnsi="Georgia"/>
          <w:b/>
          <w:bCs/>
          <w:color w:val="1A1A1A"/>
          <w:sz w:val="40"/>
          <w:szCs w:val="40"/>
        </w:rPr>
        <w:t xml:space="preserve">Marco constitucional</w:t>
      </w:r>
    </w:p>
    <w:p>
      <w:pPr>
        <w:pStyle w:val="Heading3"/>
        <w:spacing w:after="100" w:before="200"/>
      </w:pPr>
      <w:r>
        <w:rPr>
          <w:rFonts w:ascii="Calibri" w:cs="Calibri" w:eastAsia="Calibri" w:hAnsi="Calibri"/>
          <w:b/>
          <w:bCs/>
          <w:color w:val="C0612E"/>
          <w:sz w:val="24"/>
          <w:szCs w:val="24"/>
        </w:rPr>
        <w:t xml:space="preserve">Soberanía popular · Art. 39</w:t>
      </w:r>
    </w:p>
    <w:p>
      <w:pPr>
        <w:spacing w:after="140" w:line="320"/>
        <w:jc w:val="both"/>
      </w:pPr>
      <w:r>
        <w:rPr>
          <w:rFonts w:ascii="Calibri" w:cs="Calibri" w:eastAsia="Calibri" w:hAnsi="Calibri"/>
          <w:sz w:val="22"/>
          <w:szCs w:val="22"/>
        </w:rPr>
        <w:t xml:space="preserve">La soberanía nacional reside esencial y originariamente en el pueblo. Todo poder público dimana del pueblo y se instituye para beneficio de éste. El pueblo tiene en todo tiempo el inalienable derecho de alterar o modificar la forma de su gobierno.</w:t>
      </w:r>
    </w:p>
    <w:p>
      <w:pPr>
        <w:pStyle w:val="Heading3"/>
        <w:spacing w:after="100" w:before="200"/>
      </w:pPr>
      <w:r>
        <w:rPr>
          <w:rFonts w:ascii="Calibri" w:cs="Calibri" w:eastAsia="Calibri" w:hAnsi="Calibri"/>
          <w:b/>
          <w:bCs/>
          <w:color w:val="C0612E"/>
          <w:sz w:val="24"/>
          <w:szCs w:val="24"/>
        </w:rPr>
        <w:t xml:space="preserve">Revocación de mandato · Art. 35 IX</w:t>
      </w:r>
    </w:p>
    <w:p>
      <w:pPr>
        <w:spacing w:after="140" w:line="320"/>
        <w:jc w:val="both"/>
      </w:pPr>
      <w:r>
        <w:rPr>
          <w:rFonts w:ascii="Calibri" w:cs="Calibri" w:eastAsia="Calibri" w:hAnsi="Calibri"/>
          <w:sz w:val="22"/>
          <w:szCs w:val="22"/>
        </w:rPr>
        <w:t xml:space="preserve">La revocación de mandato del Presidente de la República puede ser solicitada por la ciudadanía cuando el número de firmas equivalga a por lo menos el tres por ciento de los inscritos en la lista nominal de electores, distribuidos en al menos diecisiete entidades federativas.</w:t>
      </w:r>
    </w:p>
    <w:p>
      <w:pPr>
        <w:pStyle w:val="Heading3"/>
        <w:spacing w:after="100" w:before="200"/>
      </w:pPr>
      <w:r>
        <w:rPr>
          <w:rFonts w:ascii="Calibri" w:cs="Calibri" w:eastAsia="Calibri" w:hAnsi="Calibri"/>
          <w:b/>
          <w:bCs/>
          <w:color w:val="C0612E"/>
          <w:sz w:val="24"/>
          <w:szCs w:val="24"/>
        </w:rPr>
        <w:t xml:space="preserve">República federal · Art. 40 y 41</w:t>
      </w:r>
    </w:p>
    <w:p>
      <w:pPr>
        <w:spacing w:after="140" w:line="320"/>
        <w:jc w:val="both"/>
      </w:pPr>
      <w:r>
        <w:rPr>
          <w:rFonts w:ascii="Calibri" w:cs="Calibri" w:eastAsia="Calibri" w:hAnsi="Calibri"/>
          <w:sz w:val="22"/>
          <w:szCs w:val="22"/>
        </w:rPr>
        <w:t xml:space="preserve">Es voluntad del pueblo mexicano constituirse en una República representativa, democrática, laica y federal. El pueblo ejerce su soberanía por medio de los Poderes de la Unión y por los de los Estados, según los principios de esta ley fundamental.</w:t>
      </w:r>
    </w:p>
    <w:p>
      <w:pPr>
        <w:pStyle w:val="Heading3"/>
        <w:spacing w:after="100" w:before="200"/>
      </w:pPr>
      <w:r>
        <w:rPr>
          <w:rFonts w:ascii="Calibri" w:cs="Calibri" w:eastAsia="Calibri" w:hAnsi="Calibri"/>
          <w:b/>
          <w:bCs/>
          <w:color w:val="C0612E"/>
          <w:sz w:val="24"/>
          <w:szCs w:val="24"/>
        </w:rPr>
        <w:t xml:space="preserve">Elecciones libres · Art. 41</w:t>
      </w:r>
    </w:p>
    <w:p>
      <w:pPr>
        <w:spacing w:after="140" w:line="320"/>
        <w:jc w:val="both"/>
      </w:pPr>
      <w:r>
        <w:rPr>
          <w:rFonts w:ascii="Calibri" w:cs="Calibri" w:eastAsia="Calibri" w:hAnsi="Calibri"/>
          <w:sz w:val="22"/>
          <w:szCs w:val="22"/>
        </w:rPr>
        <w:t xml:space="preserve">La renovación de los poderes Legislativo y Ejecutivo se realizará mediante elecciones libres, auténticas y periódicas. Una elección decididamente influenciada por organizaciones terroristas internacionales no cumple ninguno de los tres requisitos constitucionales.</w:t>
      </w:r>
    </w:p>
    <w:p>
      <w:r>
        <w:br w:type="page"/>
      </w:r>
    </w:p>
    <w:p>
      <w:pPr>
        <w:spacing w:after="80" w:before="360"/>
      </w:pPr>
      <w:r>
        <w:rPr>
          <w:rFonts w:ascii="Courier New" w:cs="Courier New" w:eastAsia="Courier New" w:hAnsi="Courier New"/>
          <w:b/>
          <w:bCs/>
          <w:color w:val="C0612E"/>
          <w:spacing w:val="30"/>
          <w:sz w:val="16"/>
          <w:szCs w:val="16"/>
        </w:rPr>
        <w:t xml:space="preserve">CAPÍTULO IV</w:t>
      </w:r>
    </w:p>
    <w:p>
      <w:pPr>
        <w:pStyle w:val="Heading1"/>
        <w:spacing w:after="200" w:before="360"/>
      </w:pPr>
      <w:r>
        <w:rPr>
          <w:rFonts w:ascii="Georgia" w:cs="Georgia" w:eastAsia="Georgia" w:hAnsi="Georgia"/>
          <w:b/>
          <w:bCs/>
          <w:color w:val="1A1A1A"/>
          <w:sz w:val="40"/>
          <w:szCs w:val="40"/>
        </w:rPr>
        <w:t xml:space="preserve">Artículo 136 · Cita textual</w:t>
      </w:r>
    </w:p>
    <w:p>
      <w:pPr>
        <w:spacing w:after="140" w:line="320"/>
        <w:jc w:val="both"/>
      </w:pPr>
      <w:r>
        <w:rPr>
          <w:rFonts w:ascii="Calibri" w:cs="Calibri" w:eastAsia="Calibri" w:hAnsi="Calibri"/>
          <w:i/>
          <w:iCs/>
          <w:sz w:val="22"/>
          <w:szCs w:val="22"/>
        </w:rPr>
        <w:t xml:space="preserve">El siguiente es el texto íntegro y vigente del Artículo 136 de la Constitución Política de los Estados Unidos Mexicanos. Es la base legal directa del Plan Restauración México:</w:t>
      </w:r>
    </w:p>
    <w:p>
      <w:pPr>
        <w:pBdr>
          <w:left w:val="single" w:color="C0612E" w:sz="24" w:space="16"/>
        </w:pBdr>
        <w:spacing w:after="200" w:before="200" w:line="360"/>
        <w:ind w:left="720" w:right="720"/>
        <w:jc w:val="both"/>
      </w:pPr>
      <w:r>
        <w:rPr>
          <w:rFonts w:ascii="Georgia" w:cs="Georgia" w:eastAsia="Georgia" w:hAnsi="Georgia"/>
          <w:i/>
          <w:iCs/>
          <w:color w:val="1A1A1A"/>
          <w:sz w:val="24"/>
          <w:szCs w:val="24"/>
        </w:rPr>
        <w:t xml:space="preserve">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ésta.</w:t>
      </w:r>
    </w:p>
    <w:p>
      <w:pPr>
        <w:pBdr>
          <w:bottom w:val="single" w:color="D5CFC6" w:sz="6" w:space="1"/>
        </w:pBdr>
        <w:spacing w:after="200" w:before="200"/>
      </w:pPr>
    </w:p>
    <w:p>
      <w:pPr>
        <w:pStyle w:val="Heading3"/>
        <w:spacing w:after="100" w:before="200"/>
      </w:pPr>
      <w:r>
        <w:rPr>
          <w:rFonts w:ascii="Calibri" w:cs="Calibri" w:eastAsia="Calibri" w:hAnsi="Calibri"/>
          <w:b/>
          <w:bCs/>
          <w:color w:val="C0612E"/>
          <w:sz w:val="24"/>
          <w:szCs w:val="24"/>
        </w:rPr>
        <w:t xml:space="preserve">Lectura jurídica</w:t>
      </w:r>
    </w:p>
    <w:p>
      <w:pPr>
        <w:spacing w:after="140" w:line="320"/>
        <w:jc w:val="both"/>
      </w:pPr>
      <w:r>
        <w:rPr>
          <w:rFonts w:ascii="Calibri" w:cs="Calibri" w:eastAsia="Calibri" w:hAnsi="Calibri"/>
          <w:sz w:val="22"/>
          <w:szCs w:val="22"/>
        </w:rPr>
        <w:t xml:space="preserve">Tres elementos del texto son determinantes:</w:t>
      </w:r>
    </w:p>
    <w:p>
      <w:pPr>
        <w:pStyle w:val="ListParagraph"/>
        <w:numPr>
          <w:ilvl w:val="0"/>
          <w:numId w:val="2"/>
        </w:numPr>
        <w:spacing w:after="100" w:line="280"/>
      </w:pPr>
      <w:r>
        <w:rPr>
          <w:rFonts w:ascii="Calibri" w:cs="Calibri" w:eastAsia="Calibri" w:hAnsi="Calibri"/>
          <w:color w:val="1A1A1A"/>
          <w:sz w:val="22"/>
          <w:szCs w:val="22"/>
        </w:rPr>
        <w:t xml:space="preserve">Primero. La Constitución no pierde su fuerza y vigor frente a una rebelión. Es decir, los actos del gobierno espurio no derogan la Constitución original.</w:t>
      </w:r>
    </w:p>
    <w:p>
      <w:pPr>
        <w:pStyle w:val="ListParagraph"/>
        <w:numPr>
          <w:ilvl w:val="0"/>
          <w:numId w:val="2"/>
        </w:numPr>
        <w:spacing w:after="100" w:line="280"/>
      </w:pPr>
      <w:r>
        <w:rPr>
          <w:rFonts w:ascii="Calibri" w:cs="Calibri" w:eastAsia="Calibri" w:hAnsi="Calibri"/>
          <w:color w:val="1A1A1A"/>
          <w:sz w:val="22"/>
          <w:szCs w:val="22"/>
        </w:rPr>
        <w:t xml:space="preserve">Segundo. Si por trastorno público se establece un gobierno contrario a los principios constitucionales, ese gobierno no se legitima por el hecho de gobernar.</w:t>
      </w:r>
    </w:p>
    <w:p>
      <w:pPr>
        <w:pStyle w:val="ListParagraph"/>
        <w:numPr>
          <w:ilvl w:val="0"/>
          <w:numId w:val="2"/>
        </w:numPr>
        <w:spacing w:after="100" w:line="280"/>
      </w:pPr>
      <w:r>
        <w:rPr>
          <w:rFonts w:ascii="Calibri" w:cs="Calibri" w:eastAsia="Calibri" w:hAnsi="Calibri"/>
          <w:color w:val="1A1A1A"/>
          <w:sz w:val="22"/>
          <w:szCs w:val="22"/>
        </w:rPr>
        <w:t xml:space="preserve">Tercero. Cuando el pueblo recobre su libertad, se restablece la observancia de la Constitución original, y serán juzgados quienes figuraron en el gobierno espurio y quienes cooperaron con él.</w:t>
      </w:r>
    </w:p>
    <w:p>
      <w:pPr>
        <w:spacing w:after="140" w:line="320"/>
        <w:jc w:val="both"/>
      </w:pPr>
      <w:r>
        <w:rPr>
          <w:rFonts w:ascii="Calibri" w:cs="Calibri" w:eastAsia="Calibri" w:hAnsi="Calibri"/>
          <w:sz w:val="22"/>
          <w:szCs w:val="22"/>
        </w:rPr>
        <w:t xml:space="preserve">La intervención del crimen organizado en el proceso electoral de 2024 califica como trastorno público. Las autoridades electas en ese proceso, en tanto persiste su agenda contraria al orden constitucional original, integran un gobierno emanado del trastorno. El Artículo 136 ordena, primero, el restablecimiento del orden constitucional previo; segundo, el juzgamiento de quienes participaron y cooperaron.</w:t>
      </w:r>
    </w:p>
    <w:p>
      <w:r>
        <w:br w:type="page"/>
      </w:r>
    </w:p>
    <w:p>
      <w:pPr>
        <w:spacing w:after="80" w:before="360"/>
      </w:pPr>
      <w:r>
        <w:rPr>
          <w:rFonts w:ascii="Courier New" w:cs="Courier New" w:eastAsia="Courier New" w:hAnsi="Courier New"/>
          <w:b/>
          <w:bCs/>
          <w:color w:val="C0612E"/>
          <w:spacing w:val="30"/>
          <w:sz w:val="16"/>
          <w:szCs w:val="16"/>
        </w:rPr>
        <w:t xml:space="preserve">CAPÍTULO V</w:t>
      </w:r>
    </w:p>
    <w:p>
      <w:pPr>
        <w:pStyle w:val="Heading1"/>
        <w:spacing w:after="200" w:before="360"/>
      </w:pPr>
      <w:r>
        <w:rPr>
          <w:rFonts w:ascii="Georgia" w:cs="Georgia" w:eastAsia="Georgia" w:hAnsi="Georgia"/>
          <w:b/>
          <w:bCs/>
          <w:color w:val="1A1A1A"/>
          <w:sz w:val="40"/>
          <w:szCs w:val="40"/>
        </w:rPr>
        <w:t xml:space="preserve">Modelo híbrido</w:t>
      </w:r>
    </w:p>
    <w:p>
      <w:pPr>
        <w:spacing w:after="140" w:line="320"/>
        <w:jc w:val="both"/>
      </w:pPr>
      <w:r>
        <w:rPr>
          <w:rFonts w:ascii="Calibri" w:cs="Calibri" w:eastAsia="Calibri" w:hAnsi="Calibri"/>
          <w:sz w:val="22"/>
          <w:szCs w:val="22"/>
        </w:rPr>
        <w:t xml:space="preserve">Dos planos legalmente independientes. Una sola convergencia política. La revocación formal acumula expediente. El Consejo Ciudadano de Transición prepara el programa.</w:t>
      </w:r>
    </w:p>
    <w:p>
      <w:pPr>
        <w:pStyle w:val="Heading3"/>
        <w:spacing w:after="100" w:before="200"/>
      </w:pPr>
      <w:r>
        <w:rPr>
          <w:rFonts w:ascii="Calibri" w:cs="Calibri" w:eastAsia="Calibri" w:hAnsi="Calibri"/>
          <w:b/>
          <w:bCs/>
          <w:color w:val="C0612E"/>
          <w:sz w:val="24"/>
          <w:szCs w:val="24"/>
        </w:rPr>
        <w:t xml:space="preserve">Plano formal · Revocación de Mandato</w:t>
      </w:r>
    </w:p>
    <w:p>
      <w:pPr>
        <w:spacing w:after="140" w:line="320"/>
        <w:jc w:val="both"/>
      </w:pPr>
      <w:r>
        <w:rPr>
          <w:rFonts w:ascii="Calibri" w:cs="Calibri" w:eastAsia="Calibri" w:hAnsi="Calibri"/>
          <w:sz w:val="22"/>
          <w:szCs w:val="22"/>
        </w:rPr>
        <w:t xml:space="preserve">Recolección masiva de firmas con datos INE encriptados con AES-256-GCM. Activación del procedimiento del Art. 35 IX cuando se abra la ventana constitucional. Cada firma alimenta el expediente jurídico que documenta la voluntad ciudadana de revocar el mandato del régimen surgido de la elección viciada.</w:t>
      </w:r>
    </w:p>
    <w:p>
      <w:pPr>
        <w:pStyle w:val="Heading3"/>
        <w:spacing w:after="100" w:before="200"/>
      </w:pPr>
      <w:r>
        <w:rPr>
          <w:rFonts w:ascii="Calibri" w:cs="Calibri" w:eastAsia="Calibri" w:hAnsi="Calibri"/>
          <w:b/>
          <w:bCs/>
          <w:color w:val="C0612E"/>
          <w:sz w:val="24"/>
          <w:szCs w:val="24"/>
        </w:rPr>
        <w:t xml:space="preserve">Plano paralelo · Consejo Ciudadano de Transición</w:t>
      </w:r>
    </w:p>
    <w:p>
      <w:pPr>
        <w:spacing w:after="140" w:line="320"/>
        <w:jc w:val="both"/>
      </w:pPr>
      <w:r>
        <w:rPr>
          <w:rFonts w:ascii="Calibri" w:cs="Calibri" w:eastAsia="Calibri" w:hAnsi="Calibri"/>
          <w:sz w:val="22"/>
          <w:szCs w:val="22"/>
        </w:rPr>
        <w:t xml:space="preserve">Conformación de un órgano ciudadano deliberativo que prepara el programa de restauración constitucional, incluyendo la legislación secundaria necesaria, la composición del Tribunal Especial, y los mecanismos de justicia transicional. El Consejo opera en paralelo al plano formal y se activa con la restauración del orden constitucional.</w:t>
      </w:r>
    </w:p>
    <w:p>
      <w:pPr>
        <w:pStyle w:val="Heading3"/>
        <w:spacing w:after="100" w:before="200"/>
      </w:pPr>
      <w:r>
        <w:rPr>
          <w:rFonts w:ascii="Calibri" w:cs="Calibri" w:eastAsia="Calibri" w:hAnsi="Calibri"/>
          <w:b/>
          <w:bCs/>
          <w:color w:val="C0612E"/>
          <w:sz w:val="24"/>
          <w:szCs w:val="24"/>
        </w:rPr>
        <w:t xml:space="preserve">Convergencia</w:t>
      </w:r>
    </w:p>
    <w:p>
      <w:pPr>
        <w:spacing w:after="140" w:line="320"/>
        <w:jc w:val="both"/>
      </w:pPr>
      <w:r>
        <w:rPr>
          <w:rFonts w:ascii="Calibri" w:cs="Calibri" w:eastAsia="Calibri" w:hAnsi="Calibri"/>
          <w:sz w:val="22"/>
          <w:szCs w:val="22"/>
        </w:rPr>
        <w:t xml:space="preserve">Cuando la revocación formal alcance el umbral constitucional, el Consejo Ciudadano se convierte en interlocutor legítimo de la transición. Cuando el plano paralelo madure, fortalece la legitimidad del plano formal. Ambos caminos son independientes en lo jurídico y convergentes en lo político.</w:t>
      </w:r>
    </w:p>
    <w:p>
      <w:r>
        <w:br w:type="page"/>
      </w:r>
    </w:p>
    <w:p>
      <w:pPr>
        <w:spacing w:after="80" w:before="360"/>
      </w:pPr>
      <w:r>
        <w:rPr>
          <w:rFonts w:ascii="Courier New" w:cs="Courier New" w:eastAsia="Courier New" w:hAnsi="Courier New"/>
          <w:b/>
          <w:bCs/>
          <w:color w:val="C0612E"/>
          <w:spacing w:val="30"/>
          <w:sz w:val="16"/>
          <w:szCs w:val="16"/>
        </w:rPr>
        <w:t xml:space="preserve">CAPÍTULO VI</w:t>
      </w:r>
    </w:p>
    <w:p>
      <w:pPr>
        <w:pStyle w:val="Heading1"/>
        <w:spacing w:after="200" w:before="360"/>
      </w:pPr>
      <w:r>
        <w:rPr>
          <w:rFonts w:ascii="Georgia" w:cs="Georgia" w:eastAsia="Georgia" w:hAnsi="Georgia"/>
          <w:b/>
          <w:bCs/>
          <w:color w:val="1A1A1A"/>
          <w:sz w:val="40"/>
          <w:szCs w:val="40"/>
        </w:rPr>
        <w:t xml:space="preserve">Tribunal Especial</w:t>
      </w:r>
    </w:p>
    <w:p>
      <w:pPr>
        <w:spacing w:after="140" w:line="320"/>
        <w:jc w:val="both"/>
      </w:pPr>
      <w:r>
        <w:rPr>
          <w:rFonts w:ascii="Calibri" w:cs="Calibri" w:eastAsia="Calibri" w:hAnsi="Calibri"/>
          <w:sz w:val="22"/>
          <w:szCs w:val="22"/>
        </w:rPr>
        <w:t xml:space="preserve">Una vez restaurado el orden constitucional, el propio Artículo 136 mandata juzgar a quienes figuraron en el gobierno espurio y a quienes cooperaron con él. El Tribunal Especial es el mecanismo institucional para ejecutar ese mandato.</w:t>
      </w:r>
    </w:p>
    <w:p>
      <w:pPr>
        <w:pStyle w:val="Heading3"/>
        <w:spacing w:after="100" w:before="200"/>
      </w:pPr>
      <w:r>
        <w:rPr>
          <w:rFonts w:ascii="Calibri" w:cs="Calibri" w:eastAsia="Calibri" w:hAnsi="Calibri"/>
          <w:b/>
          <w:bCs/>
          <w:color w:val="C0612E"/>
          <w:sz w:val="24"/>
          <w:szCs w:val="24"/>
        </w:rPr>
        <w:t xml:space="preserve">Sanciones contempladas</w:t>
      </w:r>
    </w:p>
    <w:p>
      <w:pPr>
        <w:pStyle w:val="ListParagraph"/>
        <w:numPr>
          <w:ilvl w:val="0"/>
          <w:numId w:val="2"/>
        </w:numPr>
        <w:spacing w:after="100" w:line="280"/>
      </w:pPr>
      <w:r>
        <w:rPr>
          <w:rFonts w:ascii="Calibri" w:cs="Calibri" w:eastAsia="Calibri" w:hAnsi="Calibri"/>
          <w:color w:val="1A1A1A"/>
          <w:sz w:val="22"/>
          <w:szCs w:val="22"/>
        </w:rPr>
        <w:t xml:space="preserve">Penas carcelarias acordes a la gravedad de la cooperación con el régimen espurio y con las organizaciones criminales internacionales.</w:t>
      </w:r>
    </w:p>
    <w:p>
      <w:pPr>
        <w:pStyle w:val="ListParagraph"/>
        <w:numPr>
          <w:ilvl w:val="0"/>
          <w:numId w:val="2"/>
        </w:numPr>
        <w:spacing w:after="100" w:line="280"/>
      </w:pPr>
      <w:r>
        <w:rPr>
          <w:rFonts w:ascii="Calibri" w:cs="Calibri" w:eastAsia="Calibri" w:hAnsi="Calibri"/>
          <w:color w:val="1A1A1A"/>
          <w:sz w:val="22"/>
          <w:szCs w:val="22"/>
        </w:rPr>
        <w:t xml:space="preserve">Incautación de activos obtenidos durante el periodo de cooperación o atribuibles a beneficios derivados de esa cooperación.</w:t>
      </w:r>
    </w:p>
    <w:p>
      <w:pPr>
        <w:pStyle w:val="ListParagraph"/>
        <w:numPr>
          <w:ilvl w:val="0"/>
          <w:numId w:val="2"/>
        </w:numPr>
        <w:spacing w:after="100" w:line="280"/>
      </w:pPr>
      <w:r>
        <w:rPr>
          <w:rFonts w:ascii="Calibri" w:cs="Calibri" w:eastAsia="Calibri" w:hAnsi="Calibri"/>
          <w:color w:val="1A1A1A"/>
          <w:sz w:val="22"/>
          <w:szCs w:val="22"/>
        </w:rPr>
        <w:t xml:space="preserve">Restricción permanente del acceso al servicio público en cualquier orden de gobierno.</w:t>
      </w:r>
    </w:p>
    <w:p>
      <w:pPr>
        <w:pStyle w:val="ListParagraph"/>
        <w:numPr>
          <w:ilvl w:val="0"/>
          <w:numId w:val="2"/>
        </w:numPr>
        <w:spacing w:after="100" w:line="280"/>
      </w:pPr>
      <w:r>
        <w:rPr>
          <w:rFonts w:ascii="Calibri" w:cs="Calibri" w:eastAsia="Calibri" w:hAnsi="Calibri"/>
          <w:color w:val="1A1A1A"/>
          <w:sz w:val="22"/>
          <w:szCs w:val="22"/>
        </w:rPr>
        <w:t xml:space="preserve">Inelegibilidad permanente para cargos de elección popular en cualquier orden de gobierno.</w:t>
      </w:r>
    </w:p>
    <w:p>
      <w:pPr>
        <w:pStyle w:val="ListParagraph"/>
        <w:numPr>
          <w:ilvl w:val="0"/>
          <w:numId w:val="2"/>
        </w:numPr>
        <w:spacing w:after="100" w:line="280"/>
      </w:pPr>
      <w:r>
        <w:rPr>
          <w:rFonts w:ascii="Calibri" w:cs="Calibri" w:eastAsia="Calibri" w:hAnsi="Calibri"/>
          <w:color w:val="1A1A1A"/>
          <w:sz w:val="22"/>
          <w:szCs w:val="22"/>
        </w:rPr>
        <w:t xml:space="preserve">Inhabilitación para ejercer función pública, consejería gubernamental o cualquier responsabilidad oficial.</w:t>
      </w:r>
    </w:p>
    <w:p>
      <w:pPr>
        <w:pStyle w:val="Heading3"/>
        <w:spacing w:after="100" w:before="200"/>
      </w:pPr>
      <w:r>
        <w:rPr>
          <w:rFonts w:ascii="Calibri" w:cs="Calibri" w:eastAsia="Calibri" w:hAnsi="Calibri"/>
          <w:b/>
          <w:bCs/>
          <w:color w:val="C0612E"/>
          <w:sz w:val="24"/>
          <w:szCs w:val="24"/>
        </w:rPr>
        <w:t xml:space="preserve">Naturaleza jurídica</w:t>
      </w:r>
    </w:p>
    <w:p>
      <w:pPr>
        <w:spacing w:after="140" w:line="320"/>
        <w:jc w:val="both"/>
      </w:pPr>
      <w:r>
        <w:rPr>
          <w:rFonts w:ascii="Calibri" w:cs="Calibri" w:eastAsia="Calibri" w:hAnsi="Calibri"/>
          <w:sz w:val="22"/>
          <w:szCs w:val="22"/>
        </w:rPr>
        <w:t xml:space="preserve">El Tribunal Especial no es un tribunal de revancha política. Es la materialización del mandato del Artículo 136 sobre el juzgamiento de quienes cooperaron con un gobierno emanado de trastorno público. Su competencia se limita a esa función. Sus procedimientos respetan plenamente las garantías del debido proceso, la presunción de inocencia y el derecho de defensa.</w:t>
      </w:r>
    </w:p>
    <w:p>
      <w:r>
        <w:br w:type="page"/>
      </w:r>
    </w:p>
    <w:p>
      <w:pPr>
        <w:spacing w:after="80" w:before="360"/>
      </w:pPr>
      <w:r>
        <w:rPr>
          <w:rFonts w:ascii="Courier New" w:cs="Courier New" w:eastAsia="Courier New" w:hAnsi="Courier New"/>
          <w:b/>
          <w:bCs/>
          <w:color w:val="C0612E"/>
          <w:spacing w:val="30"/>
          <w:sz w:val="16"/>
          <w:szCs w:val="16"/>
        </w:rPr>
        <w:t xml:space="preserve">CAPÍTULO VII</w:t>
      </w:r>
    </w:p>
    <w:p>
      <w:pPr>
        <w:pStyle w:val="Heading1"/>
        <w:spacing w:after="200" w:before="360"/>
      </w:pPr>
      <w:r>
        <w:rPr>
          <w:rFonts w:ascii="Georgia" w:cs="Georgia" w:eastAsia="Georgia" w:hAnsi="Georgia"/>
          <w:b/>
          <w:bCs/>
          <w:color w:val="1A1A1A"/>
          <w:sz w:val="40"/>
          <w:szCs w:val="40"/>
        </w:rPr>
        <w:t xml:space="preserve">Reforma constitucional propuesta</w:t>
      </w:r>
    </w:p>
    <w:p>
      <w:pPr>
        <w:spacing w:after="140" w:line="320"/>
        <w:jc w:val="both"/>
      </w:pPr>
      <w:r>
        <w:rPr>
          <w:rFonts w:ascii="Calibri" w:cs="Calibri" w:eastAsia="Calibri" w:hAnsi="Calibri"/>
          <w:sz w:val="22"/>
          <w:szCs w:val="22"/>
        </w:rPr>
        <w:t xml:space="preserve">La presente iniciativa de reforma constitucional adiciona al marco jurídico mexicano los elementos necesarios para tipificar adecuadamente los delitos contra la seguridad de la nación y para limitar el uso indebido del fuero como blindaje frente a investigaciones criminales relacionadas con esos delitos.</w:t>
      </w:r>
    </w:p>
    <w:p>
      <w:pPr>
        <w:pStyle w:val="Heading2"/>
        <w:spacing w:after="140" w:before="280"/>
      </w:pPr>
      <w:r>
        <w:rPr>
          <w:rFonts w:ascii="Georgia" w:cs="Georgia" w:eastAsia="Georgia" w:hAnsi="Georgia"/>
          <w:b/>
          <w:bCs/>
          <w:color w:val="1A1A1A"/>
          <w:sz w:val="30"/>
          <w:szCs w:val="30"/>
        </w:rPr>
        <w:t xml:space="preserve">Artículo 73 · Fracción XXI · Reformado</w:t>
      </w:r>
    </w:p>
    <w:p>
      <w:pPr>
        <w:pBdr>
          <w:left w:val="single" w:color="C0612E" w:sz="24" w:space="16"/>
        </w:pBdr>
        <w:spacing w:after="200" w:before="200" w:line="360"/>
        <w:ind w:left="720" w:right="720"/>
        <w:jc w:val="both"/>
      </w:pPr>
      <w:r>
        <w:rPr>
          <w:rFonts w:ascii="Georgia" w:cs="Georgia" w:eastAsia="Georgia" w:hAnsi="Georgia"/>
          <w:i/>
          <w:iCs/>
          <w:color w:val="1A1A1A"/>
          <w:sz w:val="24"/>
          <w:szCs w:val="24"/>
        </w:rPr>
        <w:t xml:space="preserve">El Congreso de la Unión tendrá facultad para expedir leyes que establezcan los delitos contra la seguridad de la nación, definiéndolos de manera clara, precisa y taxativa, incluyendo aquellas conductas que, por su naturaleza, efectos, grado de organización o vinculación con estructuras de criminalidad organizada, impliquen una afectación estructural a la estabilidad institucional, al ejercicio de las funciones del Estado, a la integridad del orden constitucional o a la posición del Estado mexicano en el ámbito internacional.</w:t>
      </w:r>
    </w:p>
    <w:p>
      <w:pPr>
        <w:spacing w:after="140" w:line="320"/>
        <w:jc w:val="both"/>
      </w:pPr>
      <w:r>
        <w:rPr>
          <w:rFonts w:ascii="Calibri" w:cs="Calibri" w:eastAsia="Calibri" w:hAnsi="Calibri"/>
          <w:sz w:val="22"/>
          <w:szCs w:val="22"/>
        </w:rPr>
        <w:t xml:space="preserve">Esta reforma habilita al Congreso para tipificar los delitos contra la seguridad de la nación con la precisión técnica que el principio de legalidad estricta exige. Incluye el reconocimiento expreso de las conductas vinculadas a estructuras de criminalidad organizada cuando éstas afectan la estabilidad institucional.</w:t>
      </w:r>
    </w:p>
    <w:p>
      <w:pPr>
        <w:pStyle w:val="Heading2"/>
        <w:spacing w:after="140" w:before="280"/>
      </w:pPr>
      <w:r>
        <w:rPr>
          <w:rFonts w:ascii="Georgia" w:cs="Georgia" w:eastAsia="Georgia" w:hAnsi="Georgia"/>
          <w:b/>
          <w:bCs/>
          <w:color w:val="1A1A1A"/>
          <w:sz w:val="30"/>
          <w:szCs w:val="30"/>
        </w:rPr>
        <w:t xml:space="preserve">Artículo 94 · Último párrafo · Adicionado</w:t>
      </w:r>
    </w:p>
    <w:p>
      <w:pPr>
        <w:pBdr>
          <w:left w:val="single" w:color="C0612E" w:sz="24" w:space="16"/>
        </w:pBdr>
        <w:spacing w:after="200" w:before="200" w:line="360"/>
        <w:ind w:left="720" w:right="720"/>
        <w:jc w:val="both"/>
      </w:pPr>
      <w:r>
        <w:rPr>
          <w:rFonts w:ascii="Georgia" w:cs="Georgia" w:eastAsia="Georgia" w:hAnsi="Georgia"/>
          <w:i/>
          <w:iCs/>
          <w:color w:val="1A1A1A"/>
          <w:sz w:val="24"/>
          <w:szCs w:val="24"/>
        </w:rPr>
        <w:t xml:space="preserve">El órgano de integración ciudadana previsto en esta Constitución formará parte del Poder Judicial de la Federación y participará en funciones deliberativas de carácter excepcional, pronunciándose exclusivamente sobre la determinación de la procedencia del ejercicio de la acción penal en los casos que esta Constitución establezca.</w:t>
      </w:r>
    </w:p>
    <w:p>
      <w:pPr>
        <w:spacing w:after="140" w:line="320"/>
        <w:jc w:val="both"/>
      </w:pPr>
      <w:r>
        <w:rPr>
          <w:rFonts w:ascii="Calibri" w:cs="Calibri" w:eastAsia="Calibri" w:hAnsi="Calibri"/>
          <w:sz w:val="22"/>
          <w:szCs w:val="22"/>
        </w:rPr>
        <w:t xml:space="preserve">Esta adición incorpora al Poder Judicial de la Federación un órgano de integración ciudadana, sin sustituir las funciones jurisdiccionales ordinarias y sin crear una jurisdicción paralela. Su competencia es excepcional y se acota a la deliberación sobre procedencia de la acción penal.</w:t>
      </w:r>
    </w:p>
    <w:p>
      <w:pPr>
        <w:pStyle w:val="Heading2"/>
        <w:spacing w:after="140" w:before="280"/>
      </w:pPr>
      <w:r>
        <w:rPr>
          <w:rFonts w:ascii="Georgia" w:cs="Georgia" w:eastAsia="Georgia" w:hAnsi="Georgia"/>
          <w:b/>
          <w:bCs/>
          <w:color w:val="1A1A1A"/>
          <w:sz w:val="30"/>
          <w:szCs w:val="30"/>
        </w:rPr>
        <w:t xml:space="preserve">Artículo 111 Bis · Adicionado</w:t>
      </w:r>
    </w:p>
    <w:p>
      <w:pPr>
        <w:spacing w:after="140" w:line="320"/>
        <w:jc w:val="both"/>
      </w:pPr>
      <w:r>
        <w:rPr>
          <w:rFonts w:ascii="Calibri" w:cs="Calibri" w:eastAsia="Calibri" w:hAnsi="Calibri"/>
          <w:sz w:val="22"/>
          <w:szCs w:val="22"/>
        </w:rPr>
        <w:t xml:space="preserve">Este es el corazón de la reforma. Establece el mecanismo excepcional aplicable a servidores públicos con inmunidad procesal cuando se trate de delitos contra la seguridad de la nación. La cita textual del nuevo Artículo 111 Bis se encuentra en el Anexo III de este documento.</w:t>
      </w:r>
    </w:p>
    <w:p>
      <w:r>
        <w:br w:type="page"/>
      </w:r>
    </w:p>
    <w:p>
      <w:pPr>
        <w:spacing w:after="80" w:before="360"/>
      </w:pPr>
      <w:r>
        <w:rPr>
          <w:rFonts w:ascii="Courier New" w:cs="Courier New" w:eastAsia="Courier New" w:hAnsi="Courier New"/>
          <w:b/>
          <w:bCs/>
          <w:color w:val="C0612E"/>
          <w:spacing w:val="30"/>
          <w:sz w:val="16"/>
          <w:szCs w:val="16"/>
        </w:rPr>
        <w:t xml:space="preserve">CAPÍTULO VIII</w:t>
      </w:r>
    </w:p>
    <w:p>
      <w:pPr>
        <w:pStyle w:val="Heading1"/>
        <w:spacing w:after="200" w:before="360"/>
      </w:pPr>
      <w:r>
        <w:rPr>
          <w:rFonts w:ascii="Georgia" w:cs="Georgia" w:eastAsia="Georgia" w:hAnsi="Georgia"/>
          <w:b/>
          <w:bCs/>
          <w:color w:val="1A1A1A"/>
          <w:sz w:val="40"/>
          <w:szCs w:val="40"/>
        </w:rPr>
        <w:t xml:space="preserve">Órgano mixto ciudadano-judicial</w:t>
      </w:r>
    </w:p>
    <w:p>
      <w:pPr>
        <w:pStyle w:val="Heading3"/>
        <w:spacing w:after="100" w:before="200"/>
      </w:pPr>
      <w:r>
        <w:rPr>
          <w:rFonts w:ascii="Calibri" w:cs="Calibri" w:eastAsia="Calibri" w:hAnsi="Calibri"/>
          <w:b/>
          <w:bCs/>
          <w:color w:val="C0612E"/>
          <w:sz w:val="24"/>
          <w:szCs w:val="24"/>
        </w:rPr>
        <w:t xml:space="preserve">Composición</w:t>
      </w:r>
    </w:p>
    <w:p>
      <w:pPr>
        <w:spacing w:after="140" w:line="320"/>
        <w:jc w:val="both"/>
      </w:pPr>
      <w:r>
        <w:rPr>
          <w:rFonts w:ascii="Calibri" w:cs="Calibri" w:eastAsia="Calibri" w:hAnsi="Calibri"/>
          <w:sz w:val="22"/>
          <w:szCs w:val="22"/>
        </w:rPr>
        <w:t xml:space="preserve">El órgano se integra por quince ciudadanos titulares y cinco suplentes, seleccionados mediante insaculación en los términos que establezca la ley secundaria. Adicionalmente, tres magistrados del Poder Judicial de la Federación participan exclusivamente en la conducción del procedimiento y no tienen derecho a voto.</w:t>
      </w:r>
    </w:p>
    <w:p>
      <w:pPr>
        <w:pStyle w:val="Heading3"/>
        <w:spacing w:after="100" w:before="200"/>
      </w:pPr>
      <w:r>
        <w:rPr>
          <w:rFonts w:ascii="Calibri" w:cs="Calibri" w:eastAsia="Calibri" w:hAnsi="Calibri"/>
          <w:b/>
          <w:bCs/>
          <w:color w:val="C0612E"/>
          <w:sz w:val="24"/>
          <w:szCs w:val="24"/>
        </w:rPr>
        <w:t xml:space="preserve">Insaculación ciudadana</w:t>
      </w:r>
    </w:p>
    <w:p>
      <w:pPr>
        <w:spacing w:after="140" w:line="320"/>
        <w:jc w:val="both"/>
      </w:pPr>
      <w:r>
        <w:rPr>
          <w:rFonts w:ascii="Calibri" w:cs="Calibri" w:eastAsia="Calibri" w:hAnsi="Calibri"/>
          <w:sz w:val="22"/>
          <w:szCs w:val="22"/>
        </w:rPr>
        <w:t xml:space="preserve">La integración ciudadana mediante insaculación garantiza independencia respecto de estructuras político-partidistas. Los ciudadanos integrantes no representan partidos, fuerzas políticas, ni intereses gremiales. Representan al pueblo de México en su capacidad constitucional originaria como fuente de la soberanía nacional.</w:t>
      </w:r>
    </w:p>
    <w:p>
      <w:pPr>
        <w:pStyle w:val="Heading3"/>
        <w:spacing w:after="100" w:before="200"/>
      </w:pPr>
      <w:r>
        <w:rPr>
          <w:rFonts w:ascii="Calibri" w:cs="Calibri" w:eastAsia="Calibri" w:hAnsi="Calibri"/>
          <w:b/>
          <w:bCs/>
          <w:color w:val="C0612E"/>
          <w:sz w:val="24"/>
          <w:szCs w:val="24"/>
        </w:rPr>
        <w:t xml:space="preserve">Procedimiento</w:t>
      </w:r>
    </w:p>
    <w:p>
      <w:pPr>
        <w:spacing w:after="140" w:line="320"/>
        <w:jc w:val="both"/>
      </w:pPr>
      <w:r>
        <w:rPr>
          <w:rFonts w:ascii="Calibri" w:cs="Calibri" w:eastAsia="Calibri" w:hAnsi="Calibri"/>
          <w:sz w:val="22"/>
          <w:szCs w:val="22"/>
        </w:rPr>
        <w:t xml:space="preserve">El órgano conoce de las solicitudes formuladas por el Ministerio Público de la Federación, previa integración de la investigación correspondiente. Garantiza en todo momento el derecho de audiencia de la persona señalada, así como las formalidades esenciales del procedimiento.</w:t>
      </w:r>
    </w:p>
    <w:p>
      <w:pPr>
        <w:pStyle w:val="Heading3"/>
        <w:spacing w:after="100" w:before="200"/>
      </w:pPr>
      <w:r>
        <w:rPr>
          <w:rFonts w:ascii="Calibri" w:cs="Calibri" w:eastAsia="Calibri" w:hAnsi="Calibri"/>
          <w:b/>
          <w:bCs/>
          <w:color w:val="C0612E"/>
          <w:sz w:val="24"/>
          <w:szCs w:val="24"/>
        </w:rPr>
        <w:t xml:space="preserve">Plazo y mayoría</w:t>
      </w:r>
    </w:p>
    <w:p>
      <w:pPr>
        <w:spacing w:after="140" w:line="320"/>
        <w:jc w:val="both"/>
      </w:pPr>
      <w:r>
        <w:rPr>
          <w:rFonts w:ascii="Calibri" w:cs="Calibri" w:eastAsia="Calibri" w:hAnsi="Calibri"/>
          <w:sz w:val="22"/>
          <w:szCs w:val="22"/>
        </w:rPr>
        <w:t xml:space="preserve">El órgano mixto debe emitir su determinación en un plazo máximo de quince días naturales improrrogables, contados a partir de la recepción de la solicitud del Ministerio Público. La determinación sobre la procedencia se adopta mediante el voto de cuando menos diez de los ciudadanos integrantes. En caso de no alcanzarse dicha mayoría, el órgano emite resolución definitiva el último día mediante mayoría simple de los votos efectivamente emitidos, siempre que al menos doce ciudadanos hayan participado en la votación.</w:t>
      </w:r>
    </w:p>
    <w:p>
      <w:pPr>
        <w:pStyle w:val="Heading3"/>
        <w:spacing w:after="100" w:before="200"/>
      </w:pPr>
      <w:r>
        <w:rPr>
          <w:rFonts w:ascii="Calibri" w:cs="Calibri" w:eastAsia="Calibri" w:hAnsi="Calibri"/>
          <w:b/>
          <w:bCs/>
          <w:color w:val="C0612E"/>
          <w:sz w:val="24"/>
          <w:szCs w:val="24"/>
        </w:rPr>
        <w:t xml:space="preserve">Efecto jurídico</w:t>
      </w:r>
    </w:p>
    <w:p>
      <w:pPr>
        <w:spacing w:after="140" w:line="320"/>
        <w:jc w:val="both"/>
      </w:pPr>
      <w:r>
        <w:rPr>
          <w:rFonts w:ascii="Calibri" w:cs="Calibri" w:eastAsia="Calibri" w:hAnsi="Calibri"/>
          <w:sz w:val="22"/>
          <w:szCs w:val="22"/>
        </w:rPr>
        <w:t xml:space="preserve">La determinación tiene naturaleza constitucional habilitante, equivalente a la declaración de procedencia prevista en el Artículo 111 de la Constitución. No es impugnable mediante juicio de amparo ni a través de ningún otro medio de control constitucional, en razón de que no constituye una resolución jurisdiccional de fondo ni determina responsabilidad penal. Su único efecto es remover el obstáculo de la inmunidad procesal para permitir el ejercicio de la acción penal ante la autoridad judicial competente.</w:t>
      </w:r>
    </w:p>
    <w:p>
      <w:r>
        <w:br w:type="page"/>
      </w:r>
    </w:p>
    <w:p>
      <w:pPr>
        <w:spacing w:after="80" w:before="360"/>
      </w:pPr>
      <w:r>
        <w:rPr>
          <w:rFonts w:ascii="Courier New" w:cs="Courier New" w:eastAsia="Courier New" w:hAnsi="Courier New"/>
          <w:b/>
          <w:bCs/>
          <w:color w:val="C0612E"/>
          <w:spacing w:val="30"/>
          <w:sz w:val="16"/>
          <w:szCs w:val="16"/>
        </w:rPr>
        <w:t xml:space="preserve">CAPÍTULO IX</w:t>
      </w:r>
    </w:p>
    <w:p>
      <w:pPr>
        <w:pStyle w:val="Heading1"/>
        <w:spacing w:after="200" w:before="360"/>
      </w:pPr>
      <w:r>
        <w:rPr>
          <w:rFonts w:ascii="Georgia" w:cs="Georgia" w:eastAsia="Georgia" w:hAnsi="Georgia"/>
          <w:b/>
          <w:bCs/>
          <w:color w:val="1A1A1A"/>
          <w:sz w:val="40"/>
          <w:szCs w:val="40"/>
        </w:rPr>
        <w:t xml:space="preserve">Cómo participar</w:t>
      </w:r>
    </w:p>
    <w:p>
      <w:pPr>
        <w:pStyle w:val="Heading3"/>
        <w:spacing w:after="100" w:before="200"/>
      </w:pPr>
      <w:r>
        <w:rPr>
          <w:rFonts w:ascii="Calibri" w:cs="Calibri" w:eastAsia="Calibri" w:hAnsi="Calibri"/>
          <w:b/>
          <w:bCs/>
          <w:color w:val="C0612E"/>
          <w:sz w:val="24"/>
          <w:szCs w:val="24"/>
        </w:rPr>
        <w:t xml:space="preserve">Paso 1 · Vote y firme en mexico2030.com/restauracion</w:t>
      </w:r>
    </w:p>
    <w:p>
      <w:pPr>
        <w:spacing w:after="140" w:line="320"/>
        <w:jc w:val="both"/>
      </w:pPr>
      <w:r>
        <w:rPr>
          <w:rFonts w:ascii="Calibri" w:cs="Calibri" w:eastAsia="Calibri" w:hAnsi="Calibri"/>
          <w:sz w:val="22"/>
          <w:szCs w:val="22"/>
        </w:rPr>
        <w:t xml:space="preserve">La página le presenta una pregunta binaria sobre la legitimidad del gobierno federal emanado de las elecciones de 2024. Su voto queda registrado de forma secreta y verificable, con barra de resultados en tiempo real por entidad federativa.</w:t>
      </w:r>
    </w:p>
    <w:p>
      <w:pPr>
        <w:pStyle w:val="Heading3"/>
        <w:spacing w:after="100" w:before="200"/>
      </w:pPr>
      <w:r>
        <w:rPr>
          <w:rFonts w:ascii="Calibri" w:cs="Calibri" w:eastAsia="Calibri" w:hAnsi="Calibri"/>
          <w:b/>
          <w:bCs/>
          <w:color w:val="C0612E"/>
          <w:sz w:val="24"/>
          <w:szCs w:val="24"/>
        </w:rPr>
        <w:t xml:space="preserve">Paso 2 · Verificación con datos INE</w:t>
      </w:r>
    </w:p>
    <w:p>
      <w:pPr>
        <w:spacing w:after="140" w:line="320"/>
        <w:jc w:val="both"/>
      </w:pPr>
      <w:r>
        <w:rPr>
          <w:rFonts w:ascii="Calibri" w:cs="Calibri" w:eastAsia="Calibri" w:hAnsi="Calibri"/>
          <w:sz w:val="22"/>
          <w:szCs w:val="22"/>
        </w:rPr>
        <w:t xml:space="preserve">Para el plano formal de revocación de mandato, sus datos INE son requeridos (Clave de Elector, CIC, OCR, CURP y sección electoral). Estos datos se almacenan encriptados con AES-256-GCM y se utilizan exclusivamente para integrar el expediente formal del procedimiento del Art. 35 IX. Pueden ser eliminados en cualquier momento ejerciendo sus derechos ARCO.</w:t>
      </w:r>
    </w:p>
    <w:p>
      <w:pPr>
        <w:pStyle w:val="Heading3"/>
        <w:spacing w:after="100" w:before="200"/>
      </w:pPr>
      <w:r>
        <w:rPr>
          <w:rFonts w:ascii="Calibri" w:cs="Calibri" w:eastAsia="Calibri" w:hAnsi="Calibri"/>
          <w:b/>
          <w:bCs/>
          <w:color w:val="C0612E"/>
          <w:sz w:val="24"/>
          <w:szCs w:val="24"/>
        </w:rPr>
        <w:t xml:space="preserve">Paso 3 · Compartir el documento</w:t>
      </w:r>
    </w:p>
    <w:p>
      <w:pPr>
        <w:spacing w:after="140" w:line="320"/>
        <w:jc w:val="both"/>
      </w:pPr>
      <w:r>
        <w:rPr>
          <w:rFonts w:ascii="Calibri" w:cs="Calibri" w:eastAsia="Calibri" w:hAnsi="Calibri"/>
          <w:sz w:val="22"/>
          <w:szCs w:val="22"/>
        </w:rPr>
        <w:t xml:space="preserve">Descargue este documento, compártalo con su familia, sus vecinos, su comunidad. El plan de restauración constitucional se construye con ciudadanos informados, no con seguidores entusiastas. Cuanto más conozca la base legal del Artículo 136, más sólido será su voto y su firma.</w:t>
      </w:r>
    </w:p>
    <w:p>
      <w:pPr>
        <w:pStyle w:val="Heading3"/>
        <w:spacing w:after="100" w:before="200"/>
      </w:pPr>
      <w:r>
        <w:rPr>
          <w:rFonts w:ascii="Calibri" w:cs="Calibri" w:eastAsia="Calibri" w:hAnsi="Calibri"/>
          <w:b/>
          <w:bCs/>
          <w:color w:val="C0612E"/>
          <w:sz w:val="24"/>
          <w:szCs w:val="24"/>
        </w:rPr>
        <w:t xml:space="preserve">Paso 4 · Vigilar el progreso</w:t>
      </w:r>
    </w:p>
    <w:p>
      <w:pPr>
        <w:spacing w:after="140" w:line="320"/>
        <w:jc w:val="both"/>
      </w:pPr>
      <w:r>
        <w:rPr>
          <w:rFonts w:ascii="Calibri" w:cs="Calibri" w:eastAsia="Calibri" w:hAnsi="Calibri"/>
          <w:sz w:val="22"/>
          <w:szCs w:val="22"/>
        </w:rPr>
        <w:t xml:space="preserve">El sitio mexico2030.com/restauracion presenta un mapa nacional con el progreso de firmas por entidad federativa. El umbral constitucional del Art. 35 IX exige tres por ciento de los inscritos en la lista nominal de electores, distribuidos en al menos diecisiete entidades. Vigile su entidad. Active sus redes locales. La meta se alcanza estado por estado.</w:t>
      </w:r>
    </w:p>
    <w:p>
      <w:r>
        <w:br w:type="page"/>
      </w:r>
    </w:p>
    <w:p>
      <w:pPr>
        <w:spacing w:after="80" w:before="360"/>
      </w:pPr>
      <w:r>
        <w:rPr>
          <w:rFonts w:ascii="Courier New" w:cs="Courier New" w:eastAsia="Courier New" w:hAnsi="Courier New"/>
          <w:b/>
          <w:bCs/>
          <w:color w:val="C0612E"/>
          <w:spacing w:val="30"/>
          <w:sz w:val="16"/>
          <w:szCs w:val="16"/>
        </w:rPr>
        <w:t xml:space="preserve">CAPÍTULO X</w:t>
      </w:r>
    </w:p>
    <w:p>
      <w:pPr>
        <w:pStyle w:val="Heading1"/>
        <w:spacing w:after="200" w:before="360"/>
      </w:pPr>
      <w:r>
        <w:rPr>
          <w:rFonts w:ascii="Georgia" w:cs="Georgia" w:eastAsia="Georgia" w:hAnsi="Georgia"/>
          <w:b/>
          <w:bCs/>
          <w:color w:val="1A1A1A"/>
          <w:sz w:val="40"/>
          <w:szCs w:val="40"/>
        </w:rPr>
        <w:t xml:space="preserve">Anexos</w:t>
      </w:r>
    </w:p>
    <w:p>
      <w:pPr>
        <w:pStyle w:val="Heading3"/>
        <w:spacing w:after="100" w:before="200"/>
      </w:pPr>
      <w:r>
        <w:rPr>
          <w:rFonts w:ascii="Calibri" w:cs="Calibri" w:eastAsia="Calibri" w:hAnsi="Calibri"/>
          <w:b/>
          <w:bCs/>
          <w:color w:val="C0612E"/>
          <w:sz w:val="24"/>
          <w:szCs w:val="24"/>
        </w:rPr>
        <w:t xml:space="preserve">Anexo I · Aviso de Privacidad</w:t>
      </w:r>
    </w:p>
    <w:p>
      <w:pPr>
        <w:spacing w:after="140" w:line="320"/>
        <w:jc w:val="both"/>
      </w:pPr>
      <w:r>
        <w:rPr>
          <w:rFonts w:ascii="Calibri" w:cs="Calibri" w:eastAsia="Calibri" w:hAnsi="Calibri"/>
          <w:sz w:val="22"/>
          <w:szCs w:val="22"/>
        </w:rPr>
        <w:t xml:space="preserve">Los datos personales que usted proporciona en mexico2030.com son tratados conforme a la Ley Federal de Protección de Datos Personales en Posesión de los Particulares (LFPDPPP). El responsable del tratamiento es la asociación ciudadana México 2030. La finalidad primaria de los datos INE es exclusivamente la integración del expediente de revocación de mandato. La transferencia de los datos a la autoridad competente se realiza únicamente en el momento de presentación formal del procedimiento del Art. 35 IX. Usted puede ejercer sus derechos ARCO en cualquier momento escribiendo a contacto@simonlevy.mx.</w:t>
      </w:r>
    </w:p>
    <w:p>
      <w:pPr>
        <w:pStyle w:val="Heading3"/>
        <w:spacing w:after="100" w:before="200"/>
      </w:pPr>
      <w:r>
        <w:rPr>
          <w:rFonts w:ascii="Calibri" w:cs="Calibri" w:eastAsia="Calibri" w:hAnsi="Calibri"/>
          <w:b/>
          <w:bCs/>
          <w:color w:val="C0612E"/>
          <w:sz w:val="24"/>
          <w:szCs w:val="24"/>
        </w:rPr>
        <w:t xml:space="preserve">Anexo II · Seguridad de los datos INE</w:t>
      </w:r>
    </w:p>
    <w:p>
      <w:pPr>
        <w:spacing w:after="140" w:line="320"/>
        <w:jc w:val="both"/>
      </w:pPr>
      <w:r>
        <w:rPr>
          <w:rFonts w:ascii="Calibri" w:cs="Calibri" w:eastAsia="Calibri" w:hAnsi="Calibri"/>
          <w:sz w:val="22"/>
          <w:szCs w:val="22"/>
        </w:rPr>
        <w:t xml:space="preserve">Los cinco datos del INE solicitados (Clave de Elector, CIC, OCR, CURP y sección electoral) se almacenan encriptados con AES-256-GCM usando una clave derivada que solo el sistema conoce. La Clave de Elector y la CURP se hashean adicionalmente con SHA-256 con salt para impedir que dos cuentas distintas se registren con la misma identidad. Los datos en claro nunca se exponen al frontend, a otros usuarios, ni en respuestas API. Solo se desencriptan en el backend al momento exacto de validar elegibilidad para una boleta oficial o de integrar el expediente formal de revocación.</w:t>
      </w:r>
    </w:p>
    <w:p>
      <w:pPr>
        <w:pStyle w:val="Heading3"/>
        <w:spacing w:after="100" w:before="200"/>
      </w:pPr>
      <w:r>
        <w:rPr>
          <w:rFonts w:ascii="Calibri" w:cs="Calibri" w:eastAsia="Calibri" w:hAnsi="Calibri"/>
          <w:b/>
          <w:bCs/>
          <w:color w:val="C0612E"/>
          <w:sz w:val="24"/>
          <w:szCs w:val="24"/>
        </w:rPr>
        <w:t xml:space="preserve">Anexo III · Cita textual del Artículo 111 Bis propuesto</w:t>
      </w:r>
    </w:p>
    <w:p>
      <w:pPr>
        <w:pBdr>
          <w:left w:val="single" w:color="C0612E" w:sz="24" w:space="16"/>
        </w:pBdr>
        <w:spacing w:after="200" w:before="200" w:line="360"/>
        <w:ind w:left="720" w:right="720"/>
        <w:jc w:val="both"/>
      </w:pPr>
      <w:r>
        <w:rPr>
          <w:rFonts w:ascii="Georgia" w:cs="Georgia" w:eastAsia="Georgia" w:hAnsi="Georgia"/>
          <w:i/>
          <w:iCs/>
          <w:color w:val="1A1A1A"/>
          <w:sz w:val="24"/>
          <w:szCs w:val="24"/>
        </w:rPr>
        <w:t xml:space="preserve">Para los efectos de esta Constitución, cuando se trate de hechos que pudieran constituir delitos contra la seguridad de la nación, en los términos previstos de manera expresa en la ley, el régimen de inmunidad procesal previsto en el artículo 111 de esta Constitución se sujetará al mecanismo excepcional establecido en este precepto. En estos casos, la determinación sobre la procedencia del ejercicio de la acción penal sustituirá, exclusivamente para dichos supuestos, a la declaración de procedencia prevista en el artículo 111 de esta Constitución. Dicha determinación corresponderá a un órgano colegiado de carácter ciudadano adscrito al Poder Judicial de la Federación, cuya función será emitir una resolución de naturaleza constitucional habilitante para el ejercicio de la acción penal.</w:t>
      </w:r>
    </w:p>
    <w:p>
      <w:r>
        <w:br w:type="page"/>
      </w:r>
    </w:p>
    <w:p>
      <w:pPr>
        <w:spacing w:before="2000"/>
        <w:jc w:val="center"/>
      </w:pPr>
      <w:r>
        <w:rPr>
          <w:rFonts w:ascii="Courier New" w:cs="Courier New" w:eastAsia="Courier New" w:hAnsi="Courier New"/>
          <w:color w:val="C0612E"/>
          <w:spacing w:val="60"/>
          <w:sz w:val="20"/>
          <w:szCs w:val="20"/>
        </w:rPr>
        <w:t xml:space="preserve">PLAN RESTAURACIÓN MÉXICO</w:t>
      </w:r>
    </w:p>
    <w:p>
      <w:pPr>
        <w:spacing w:before="200"/>
        <w:jc w:val="center"/>
      </w:pPr>
      <w:r>
        <w:rPr>
          <w:rFonts w:ascii="Georgia" w:cs="Georgia" w:eastAsia="Georgia" w:hAnsi="Georgia"/>
          <w:i/>
          <w:iCs/>
          <w:color w:val="1A1A1A"/>
          <w:sz w:val="48"/>
          <w:szCs w:val="48"/>
        </w:rPr>
        <w:t xml:space="preserve">Vote. Firme. Comparta.</w:t>
      </w:r>
    </w:p>
    <w:p>
      <w:pPr>
        <w:spacing w:before="800"/>
        <w:jc w:val="center"/>
      </w:pPr>
      <w:r>
        <w:rPr>
          <w:rFonts w:ascii="Courier New" w:cs="Courier New" w:eastAsia="Courier New" w:hAnsi="Courier New"/>
          <w:color w:val="C0612E"/>
          <w:spacing w:val="30"/>
          <w:sz w:val="20"/>
          <w:szCs w:val="20"/>
        </w:rPr>
        <w:t xml:space="preserve">mexico2030.com/restauracion</w:t>
      </w:r>
    </w:p>
    <w:p>
      <w:pPr>
        <w:spacing w:before="200"/>
        <w:jc w:val="center"/>
      </w:pPr>
      <w:r>
        <w:rPr>
          <w:rFonts w:ascii="Calibri" w:cs="Calibri" w:eastAsia="Calibri" w:hAnsi="Calibri"/>
          <w:color w:val="6B6660"/>
          <w:sz w:val="18"/>
          <w:szCs w:val="18"/>
        </w:rPr>
        <w:t xml:space="preserve">Mayo 2026 · Documento ciudadano de distribución libre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ourier New" w:cs="Courier New" w:eastAsia="Courier New" w:hAnsi="Courier New"/>
        <w:color w:val="C0612E"/>
        <w:spacing w:val="20"/>
        <w:sz w:val="14"/>
        <w:szCs w:val="14"/>
      </w:rPr>
      <w:t xml:space="preserve">mexico2030.com/restauracion</w:t>
    </w:r>
    <w:r>
      <w:rPr>
        <w:rFonts w:ascii="Courier New" w:cs="Courier New" w:eastAsia="Courier New" w:hAnsi="Courier New"/>
        <w:color w:val="6B6660"/>
        <w:sz w:val="14"/>
        <w:szCs w:val="14"/>
      </w:rPr>
      <w:t xml:space="preserve">  ·  Página </w:t>
    </w:r>
    <w:r>
      <w:rPr>
        <w:rFonts w:ascii="Courier New" w:cs="Courier New" w:eastAsia="Courier New" w:hAnsi="Courier New"/>
        <w:color w:val="6B666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ourier New" w:cs="Courier New" w:eastAsia="Courier New" w:hAnsi="Courier New"/>
        <w:color w:val="6B6660"/>
        <w:spacing w:val="30"/>
        <w:sz w:val="14"/>
        <w:szCs w:val="14"/>
      </w:rPr>
      <w:t xml:space="preserve">PLAN RESTAURACIÓN MÉXICO · Mayo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1A1A"/>
      <w:sz w:val="40"/>
      <w:szCs w:val="40"/>
    </w:rPr>
  </w:style>
  <w:style w:type="paragraph" w:styleId="Heading2">
    <w:name w:val="Heading 2"/>
    <w:basedOn w:val="Normal"/>
    <w:next w:val="Normal"/>
    <w:qFormat/>
    <w:pPr>
      <w:spacing w:after="140" w:before="280"/>
      <w:outlineLvl w:val="1"/>
    </w:pPr>
    <w:rPr>
      <w:rFonts w:ascii="Georgia" w:cs="Georgia" w:eastAsia="Georgia" w:hAnsi="Georgia"/>
      <w:b/>
      <w:bCs/>
      <w:color w:val="1A1A1A"/>
      <w:sz w:val="30"/>
      <w:szCs w:val="30"/>
    </w:rPr>
  </w:style>
  <w:style w:type="paragraph" w:styleId="Heading3">
    <w:name w:val="Heading 3"/>
    <w:basedOn w:val="Normal"/>
    <w:next w:val="Normal"/>
    <w:qFormat/>
    <w:pPr>
      <w:spacing w:after="100" w:before="200"/>
      <w:outlineLvl w:val="2"/>
    </w:pPr>
    <w:rPr>
      <w:rFonts w:ascii="Calibri" w:cs="Calibri" w:eastAsia="Calibri" w:hAnsi="Calibri"/>
      <w:b/>
      <w:bCs/>
      <w:color w:val="C061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Restauración México · Mayo 2026</dc:title>
  <dc:creator>Simón Levy</dc:creator>
  <dc:description>La Constitución de 1917 ya tiene el remedio. Una pregunta. Tres millones de firmas. El umbral del Art. 35 IX.</dc:description>
  <cp:lastModifiedBy>Un-named</cp:lastModifiedBy>
  <cp:revision>1</cp:revision>
  <dcterms:created xsi:type="dcterms:W3CDTF">2026-05-10T19:20:24.928Z</dcterms:created>
  <dcterms:modified xsi:type="dcterms:W3CDTF">2026-05-10T19:20:24.929Z</dcterms:modified>
</cp:coreProperties>
</file>

<file path=docProps/custom.xml><?xml version="1.0" encoding="utf-8"?>
<Properties xmlns="http://schemas.openxmlformats.org/officeDocument/2006/custom-properties" xmlns:vt="http://schemas.openxmlformats.org/officeDocument/2006/docPropsVTypes"/>
</file>